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bookmarkStart w:id="0" w:name="_GoBack"/>
      <w:r>
        <w:t xml:space="preserve">Gun Violence in Higher Learning Institutions in the United States </w:t>
      </w:r>
    </w:p>
    <w:p>
      <w:pPr>
        <w:pStyle w:val="style4133"/>
        <w:rPr/>
      </w:pPr>
      <w:r>
        <w:t xml:space="preserve">Name </w:t>
      </w:r>
    </w:p>
    <w:p>
      <w:pPr>
        <w:pStyle w:val="style4133"/>
        <w:rPr/>
      </w:pPr>
      <w:r>
        <w:t xml:space="preserve">Institutional Affiliation </w:t>
      </w: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r>
        <w:t xml:space="preserve">Gun Violence in Higher Learning Institutions in the United States of America </w:t>
      </w:r>
    </w:p>
    <w:p>
      <w:pPr>
        <w:pStyle w:val="style4133"/>
        <w:rPr>
          <w:b/>
        </w:rPr>
      </w:pPr>
      <w:r>
        <w:rPr>
          <w:b/>
        </w:rPr>
        <w:t xml:space="preserve">Introduction </w:t>
      </w:r>
    </w:p>
    <w:p>
      <w:pPr>
        <w:pStyle w:val="style4133"/>
        <w:spacing w:before="100" w:beforeAutospacing="true" w:after="100" w:afterAutospacing="true"/>
        <w:ind w:left="284" w:firstLine="720"/>
        <w:jc w:val="left"/>
        <w:contextualSpacing/>
        <w:rPr/>
      </w:pPr>
      <w:r>
        <w:t xml:space="preserve">Gun violence occurring on higher learning </w:t>
      </w:r>
      <w:r>
        <w:t>institutions in the United States of A</w:t>
      </w:r>
      <w:r>
        <w:t>merica terminates</w:t>
      </w:r>
      <w:r>
        <w:t xml:space="preserve"> the lives </w:t>
      </w:r>
      <w:r>
        <w:t>not only the students but also the employees and faculty (Birnbaum</w:t>
      </w:r>
      <w:r>
        <w:t>, 2012</w:t>
      </w:r>
      <w:r>
        <w:t>). E</w:t>
      </w:r>
      <w:r>
        <w:t>ven after the massive killings, there</w:t>
      </w:r>
      <w:r>
        <w:t xml:space="preserve"> is very little or no accurate data available concerning the role of guns in exacerbating or preventing violence in higher education campuses. Therefore, there have been numerous significant </w:t>
      </w:r>
      <w:r>
        <w:t>concern</w:t>
      </w:r>
      <w:r>
        <w:t xml:space="preserve"> regarding campus security and safety (Smith</w:t>
      </w:r>
      <w:r>
        <w:t>, 2012</w:t>
      </w:r>
      <w:r>
        <w:t xml:space="preserve">).In April 207, national attention was drawn to higher education campus when Seung Hui, a senior employee at Virginia Technical University, wounded seventeen and killed thirty-two persons through the use of a </w:t>
      </w:r>
      <w:r>
        <w:t>gun. On second April 2012, a similar incident occurred Oikos University in which two nursing students were wounded and seven killed by one gunman (Bennett, Kraft &amp; Grabb, 2013). A single gunman welding the guns promulgated the two tragedies.</w:t>
      </w:r>
    </w:p>
    <w:p>
      <w:pPr>
        <w:pStyle w:val="style4133"/>
        <w:spacing w:before="100" w:beforeAutospacing="true" w:after="100" w:afterAutospacing="true"/>
        <w:ind w:left="284" w:firstLine="720"/>
        <w:jc w:val="left"/>
        <w:contextualSpacing/>
        <w:rPr/>
      </w:pPr>
      <w:r>
        <w:t xml:space="preserve">In 2012 March </w:t>
      </w:r>
      <w:r>
        <w:t>Virginia Technical University tragedy (VTU) was carefully examined by a civil jury and held that the university is responsible for the death of 2 learners, awarding their families hugs sums of monetary resources (Mohney, 2012). While higher learning campus is usually a safe place, massive fallout from VTU massacre is often to make the colleges even safer (Smith, 2012).</w:t>
      </w:r>
    </w:p>
    <w:p>
      <w:pPr>
        <w:pStyle w:val="style4133"/>
        <w:spacing w:before="100" w:beforeAutospacing="true" w:after="100" w:afterAutospacing="true"/>
        <w:ind w:left="284" w:firstLine="720"/>
        <w:jc w:val="left"/>
        <w:contextualSpacing/>
        <w:rPr/>
      </w:pPr>
      <w:r>
        <w:t>University campu</w:t>
      </w:r>
      <w:r>
        <w:t xml:space="preserve">ses, while considered to be cooperatively safer compared to their neighboring communities, are still highly vulnerable to firearm violence (Mohney, 2012). Universities, as well as middle-level colleges, are usually an easy target for violent firearm </w:t>
      </w:r>
      <w:r>
        <w:t>perpetrators (</w:t>
      </w:r>
      <w:r>
        <w:t>Smith</w:t>
      </w:r>
      <w:r>
        <w:t>, 2012</w:t>
      </w:r>
      <w:r>
        <w:t>). Numbers concerning the gun killin</w:t>
      </w:r>
      <w:r>
        <w:t xml:space="preserve">gs in the higher education campuses </w:t>
      </w:r>
      <w:r>
        <w:t xml:space="preserve">do not include the dozens </w:t>
      </w:r>
      <w:r>
        <w:t>of employees</w:t>
      </w:r>
      <w:r>
        <w:t xml:space="preserve">, students, and faculty was </w:t>
      </w:r>
      <w:r>
        <w:t xml:space="preserve">wounded during </w:t>
      </w:r>
      <w:r>
        <w:t xml:space="preserve">the university gun rampage. These number further does not include the individuals suffering from various mental problems due to firearm violence exposure </w:t>
      </w:r>
    </w:p>
    <w:p>
      <w:pPr>
        <w:pStyle w:val="style4133"/>
        <w:spacing w:before="100" w:beforeAutospacing="true" w:after="100" w:afterAutospacing="true"/>
        <w:ind w:left="284" w:firstLine="720"/>
        <w:jc w:val="left"/>
        <w:contextualSpacing/>
        <w:rPr/>
      </w:pPr>
      <w:r>
        <w:t>Significantly firearm violence has happened in the American higher learning institutions for several decades (Bennett et al., 2013)</w:t>
      </w:r>
      <w:r>
        <w:t>.</w:t>
      </w:r>
      <w:r>
        <w:t xml:space="preserve"> The</w:t>
      </w:r>
      <w:r>
        <w:t xml:space="preserve"> majority of the American citizens are aware of the Virginia Technical University tragedy as well as the atrocious loss of life which happened there. Virginia Technical University increasingly becomes more famous due to gun violence tragedies than for athletics or academics; Virginia Technical University has often become synonymous and associated with campus gun violence tragedy. However, Virginia Technical University is not alone in facing </w:t>
      </w:r>
      <w:r>
        <w:t xml:space="preserve">human havoc caused guns. The national coverage for higher learning institutions </w:t>
      </w:r>
      <w:r>
        <w:t>at Oiko</w:t>
      </w:r>
      <w:r>
        <w:t>s University, Northern Illinois University, Casper College</w:t>
      </w:r>
      <w:r>
        <w:t>, and  Lone Star College.</w:t>
      </w:r>
    </w:p>
    <w:p>
      <w:pPr>
        <w:pStyle w:val="style4133"/>
        <w:spacing w:before="100" w:beforeAutospacing="true" w:after="100" w:afterAutospacing="true"/>
        <w:ind w:left="284" w:firstLine="720"/>
        <w:contextualSpacing/>
        <w:rPr>
          <w:b/>
        </w:rPr>
      </w:pPr>
      <w:r>
        <w:rPr>
          <w:b/>
        </w:rPr>
        <w:t>Should people be allowed to carry guns to Campus?</w:t>
      </w:r>
    </w:p>
    <w:p>
      <w:pPr>
        <w:pStyle w:val="style4133"/>
        <w:spacing w:before="100" w:beforeAutospacing="true" w:after="100" w:afterAutospacing="true"/>
        <w:ind w:left="284" w:firstLine="720"/>
        <w:jc w:val="left"/>
        <w:contextualSpacing/>
        <w:rPr/>
      </w:pPr>
      <w:r>
        <w:t xml:space="preserve">Guns should not be allowed in campuses because firearm violence </w:t>
      </w:r>
      <w:r>
        <w:t>in these institutions is usually harming the environment of learning of universities and colleges in the United States of America. According to Smith (2012), gun paranoia and fear is often antithetical to establish the climate in which open, and free learn</w:t>
      </w:r>
      <w:r>
        <w:t>ing and debate thrive (Birnbaum, 2012). Mo</w:t>
      </w:r>
      <w:r>
        <w:t>h</w:t>
      </w:r>
      <w:r>
        <w:t xml:space="preserve">ney (2013) states that the issue concerning whether people should be allowed to carry firearms to college and university campuses </w:t>
      </w:r>
      <w:r>
        <w:t>is currently as the subject matter of controversy and vigorous debate.</w:t>
      </w:r>
    </w:p>
    <w:p>
      <w:pPr>
        <w:pStyle w:val="style4133"/>
        <w:spacing w:before="100" w:beforeAutospacing="true" w:after="100" w:afterAutospacing="true"/>
        <w:ind w:left="284" w:firstLine="720"/>
        <w:jc w:val="left"/>
        <w:contextualSpacing/>
        <w:rPr/>
      </w:pPr>
      <w:r>
        <w:t>During the 20</w:t>
      </w:r>
      <w:r>
        <w:t>08 fourteen day period, the survey link was to 331 member universities and colleges listed in the Higher Education Directory of 2006 Edition responding (Bennett et al., 2013). This survey indicated that 87 percent of the responding colleges and universitie</w:t>
      </w:r>
      <w:r>
        <w:t xml:space="preserve">s showed that had </w:t>
      </w:r>
      <w:r>
        <w:t xml:space="preserve">examined their safety and security laws and policies (Bennett et al., 2013). </w:t>
      </w:r>
      <w:r>
        <w:t>This situation is further complicated by the so-called concealed carry of guns (Mohney, 2012).</w:t>
      </w:r>
    </w:p>
    <w:p>
      <w:pPr>
        <w:pStyle w:val="style4133"/>
        <w:spacing w:before="100" w:beforeAutospacing="true" w:after="100" w:afterAutospacing="true"/>
        <w:ind w:left="284" w:firstLine="720"/>
        <w:jc w:val="left"/>
        <w:contextualSpacing/>
        <w:rPr/>
      </w:pPr>
      <w:r>
        <w:t>According to Birnbaum (2012) advocates who support the free carryi</w:t>
      </w:r>
      <w:r>
        <w:t xml:space="preserve">ng of concealed guns to higher education campuses urge that the colleges and universities gun regulations would be sampling blocks the citizens who are law- </w:t>
      </w:r>
      <w:r>
        <w:t>abiding, but would not be able to keep unlicensed firearms from the criminals.</w:t>
      </w:r>
      <w:r>
        <w:t xml:space="preserve"> </w:t>
      </w:r>
      <w:r>
        <w:t>Most proponents of firearm (gun) rights often believe that violent firearm perpetrators may reconsider their attacking if they realize that concealed firearms were allowed in higher learning institutions. Additionally, these advocates claim that the ‘weapon free zones' do serve many purposes as well as the stickers on the universities and colleges showing ‘firearms are not allowed'</w:t>
      </w:r>
      <w:r>
        <w:t xml:space="preserve"> are usually announcing to the gunmen or terrorists concerning the absence of the defensive guns (Mohney, 2012). Therefore, college or university announced that America's higher learning campus are firearm free merely offer the reckless invitation to the violent criminals or psychopaths (Wolfson &amp; Gray, 2012). </w:t>
      </w:r>
    </w:p>
    <w:p>
      <w:pPr>
        <w:pStyle w:val="style4133"/>
        <w:spacing w:before="100" w:beforeAutospacing="true" w:after="100" w:afterAutospacing="true"/>
        <w:ind w:left="284" w:firstLine="720"/>
        <w:jc w:val="left"/>
        <w:contextualSpacing/>
        <w:rPr/>
      </w:pPr>
      <w:r>
        <w:t>On the other hand, other proponents argue that people should not be allowed to carry guns t</w:t>
      </w:r>
      <w:r>
        <w:t>o campuses. These proponents of gun rights claim that the academic freedom in colleges and universities would heavily be hampered if firearms were permissible on higher learning institutions (Birnbaum, 2012). The concealed handbag weapons such as guns more</w:t>
      </w:r>
      <w:r>
        <w:t xml:space="preserve"> often than would detract students from a conducive learning environment; since open discussion or debate on critical matters might arouse different passions and stop meaningful dialogue because of fear of retaliation (Smith, 2012).</w:t>
      </w:r>
    </w:p>
    <w:p>
      <w:pPr>
        <w:pStyle w:val="style4133"/>
        <w:spacing w:before="100" w:beforeAutospacing="true" w:after="100" w:afterAutospacing="true"/>
        <w:ind w:left="284" w:firstLine="720"/>
        <w:jc w:val="left"/>
        <w:contextualSpacing/>
        <w:rPr/>
      </w:pPr>
      <w:r>
        <w:t xml:space="preserve">The scholarly writings </w:t>
      </w:r>
      <w:r>
        <w:t xml:space="preserve">and other literature </w:t>
      </w:r>
      <w:r>
        <w:t xml:space="preserve">offer no uniform point of view. There is no safe or secure campus path is provided. Like many other controversial matters, university and college concealed carry weapons provide minimal common grounds for the compromise. </w:t>
      </w:r>
      <w:r>
        <w:t xml:space="preserve">While logical and rational individuals need safe and secure higher education campuses, the path to this secure and safety broadly diverges (Birnbaum, 2012). Various advocates of these two mutually exclusive opinions </w:t>
      </w:r>
      <w:r>
        <w:t>‘agree</w:t>
      </w:r>
      <w:r>
        <w:t xml:space="preserve"> concerning the law and policy ends': the establishment and promotion of prosperity, safety, health, and security of their </w:t>
      </w:r>
      <w:r>
        <w:t>communities (</w:t>
      </w:r>
      <w:r>
        <w:t>Mohney</w:t>
      </w:r>
      <w:r>
        <w:t>, 2012</w:t>
      </w:r>
      <w:r>
        <w:t>)</w:t>
      </w:r>
      <w:r>
        <w:t xml:space="preserve">. Despite the broad-based concerns regarding the college violence there is no appropriate consensus or agreement on the way of achieving security and safety perfectly. According to </w:t>
      </w:r>
      <w:r>
        <w:t>Smith (2012) even if the little is known concerning the primary role of firearms in exacerbating as well as preventing college violence.</w:t>
      </w:r>
    </w:p>
    <w:p>
      <w:pPr>
        <w:pStyle w:val="style4133"/>
        <w:spacing w:before="100" w:beforeAutospacing="true" w:after="100" w:afterAutospacing="true"/>
        <w:ind w:left="284" w:firstLine="720"/>
        <w:jc w:val="left"/>
        <w:contextualSpacing/>
        <w:rPr/>
      </w:pPr>
      <w:r>
        <w:t xml:space="preserve">Additionally it is not clear to what extent human devastations on university or college campuses could have been eliminated or minimized since the law-abiding employees, faculty, and students possessed the concealed guns (Wolfson &amp;Gray, 2012). It is also unclear whether the prohibition of concealed weapons on higher learning institutions would facilitate gun safety at universities or </w:t>
      </w:r>
      <w:r>
        <w:t>colleges (Wolfson &amp;</w:t>
      </w:r>
      <w:r>
        <w:t>Gray</w:t>
      </w:r>
      <w:r>
        <w:t>, 2012</w:t>
      </w:r>
      <w:r>
        <w:t>).</w:t>
      </w:r>
      <w:r>
        <w:t xml:space="preserve"> This issue is critical since college and university campuses have an obligation of providing a safe and secure learning environment for their students.  </w:t>
      </w:r>
    </w:p>
    <w:p>
      <w:pPr>
        <w:pStyle w:val="style4133"/>
        <w:spacing w:before="100" w:beforeAutospacing="true" w:after="100" w:afterAutospacing="true"/>
        <w:jc w:val="left"/>
        <w:contextualSpacing/>
        <w:rPr>
          <w:b/>
        </w:rPr>
      </w:pPr>
      <w:r>
        <w:rPr>
          <w:b/>
        </w:rPr>
        <w:t xml:space="preserve">The restrictions that should </w:t>
      </w:r>
      <w:r>
        <w:rPr>
          <w:b/>
        </w:rPr>
        <w:t xml:space="preserve">be enforced </w:t>
      </w:r>
    </w:p>
    <w:p>
      <w:pPr>
        <w:pStyle w:val="style4133"/>
        <w:spacing w:before="100" w:beforeAutospacing="true" w:after="100" w:afterAutospacing="true"/>
        <w:ind w:left="284" w:firstLine="720"/>
        <w:jc w:val="left"/>
        <w:contextualSpacing/>
        <w:rPr/>
      </w:pPr>
      <w:r>
        <w:t>To restrict the gun violence in c</w:t>
      </w:r>
      <w:r>
        <w:t>ampuses, the security officers need to be appropriately armed. Additionally, the university or college law enforcement agents provided with firearms must meet the required standards created for the utilization of those guns as determined by the Texas state.</w:t>
      </w:r>
      <w:r>
        <w:t xml:space="preserve"> College campuses need to establish, clear policy documents which should be adopted and implemented, developing such firearms as defensive weapons (Smith, 2012).</w:t>
      </w:r>
    </w:p>
    <w:p>
      <w:pPr>
        <w:pStyle w:val="style0"/>
        <w:spacing w:lineRule="auto" w:line="240"/>
        <w:ind w:firstLine="0"/>
        <w:jc w:val="center"/>
        <w:rPr>
          <w:rFonts w:cs="Times New Roman" w:eastAsia="Times New Roman"/>
          <w:b/>
          <w:color w:val="auto"/>
          <w:lang w:val="en-GB" w:eastAsia="en-GB"/>
        </w:rPr>
      </w:pPr>
      <w:r>
        <w:rPr>
          <w:rFonts w:cs="Times New Roman" w:eastAsia="Times New Roman"/>
          <w:b/>
          <w:color w:val="auto"/>
          <w:lang w:val="en-GB" w:eastAsia="en-GB"/>
        </w:rPr>
        <w:t>Lack of Guidance Concerning Safety of Campuses</w:t>
      </w:r>
    </w:p>
    <w:p>
      <w:pPr>
        <w:pStyle w:val="style4133"/>
        <w:spacing w:before="100" w:beforeAutospacing="true" w:after="100" w:afterAutospacing="true"/>
        <w:ind w:left="284" w:firstLine="720"/>
        <w:jc w:val="left"/>
        <w:contextualSpacing/>
        <w:rPr/>
      </w:pPr>
      <w:r>
        <w:t>Both the central and Texas state governments have removed or eased several impediments for many</w:t>
      </w:r>
      <w:r>
        <w:t xml:space="preserve"> civilians to carry guns. Neither the Texas legislature nor the U.S Supreme Court has offered guidance and direction concerning the possession of weapons on universities and colleges in Texas (Smith, 2012). The matter of weapons on higher learning institutions was not addressed by the decisions of Supreme Court either (Birnbaum, 2012), or mainly left the discretion of every individual college or university campus (Mohney, 2012). State laws and policies comparatively vary </w:t>
      </w:r>
      <w:r>
        <w:t xml:space="preserve">concerning allowing people to carry guns to school. Texas, for instance, prohibits weapons on higher education campuses unless the individual has the permission of the university or college security and safety </w:t>
      </w:r>
      <w:r>
        <w:t>directors. While</w:t>
      </w:r>
      <w:r>
        <w:t xml:space="preserve"> other states such as Colorado allows people to carry guns freely any place in the country (Mohney</w:t>
      </w:r>
      <w:r>
        <w:t>, 2012</w:t>
      </w:r>
      <w:r>
        <w:t>).</w:t>
      </w:r>
    </w:p>
    <w:p>
      <w:pPr>
        <w:pStyle w:val="style4133"/>
        <w:spacing w:before="100" w:beforeAutospacing="true" w:after="100" w:afterAutospacing="true"/>
        <w:ind w:left="284" w:firstLine="720"/>
        <w:jc w:val="left"/>
        <w:contextualSpacing/>
        <w:rPr/>
      </w:pPr>
      <w:r>
        <w:t>While the central government and the federal government have made a significant declaration about the possession of guns b</w:t>
      </w:r>
      <w:r>
        <w:t xml:space="preserve">y the people, none appropriately addressed nor affected the issues of weapons on university or </w:t>
      </w:r>
      <w:r>
        <w:t>colleges. The</w:t>
      </w:r>
      <w:r>
        <w:t xml:space="preserve"> U.S Supreme Court mainly chose not to make a </w:t>
      </w:r>
      <w:r>
        <w:t xml:space="preserve">decision or ruling </w:t>
      </w:r>
      <w:r>
        <w:t xml:space="preserve">on the guns in higher learning </w:t>
      </w:r>
      <w:r>
        <w:t>institutions. Likewise, the Texas legislature did not decide the firearms on the higher education campuses, leaving the present policies and laws affected. This clearly shows that two arms of government in the United States of America, the Texas Legislature and the judiciary have not offered direction and guidance regarding the concealed weapons on universities or colleges.</w:t>
      </w:r>
    </w:p>
    <w:p>
      <w:pPr>
        <w:pStyle w:val="style4133"/>
        <w:spacing w:before="100" w:beforeAutospacing="true" w:after="100" w:afterAutospacing="true"/>
        <w:ind w:left="284" w:firstLine="720"/>
        <w:jc w:val="left"/>
        <w:contextualSpacing/>
        <w:rPr/>
      </w:pPr>
    </w:p>
    <w:p>
      <w:pPr>
        <w:pStyle w:val="style4133"/>
        <w:rPr/>
      </w:pPr>
    </w:p>
    <w:p>
      <w:pPr>
        <w:pStyle w:val="style4133"/>
        <w:rPr/>
      </w:pPr>
    </w:p>
    <w:p>
      <w:pPr>
        <w:pStyle w:val="style4133"/>
        <w:rPr/>
      </w:pPr>
    </w:p>
    <w:p>
      <w:pPr>
        <w:pStyle w:val="style4133"/>
        <w:rPr/>
      </w:pPr>
    </w:p>
    <w:p>
      <w:pPr>
        <w:pStyle w:val="style4133"/>
        <w:rPr/>
      </w:pPr>
      <w:r>
        <w:rPr>
          <w:noProof/>
          <w:lang w:val="en-GB" w:eastAsia="en-GB"/>
        </w:rPr>
        <w:drawing>
          <wp:inline distT="0" distB="0" distR="0" distL="0">
            <wp:extent cx="4829175" cy="5133975"/>
            <wp:effectExtent l="0" t="0" r="9525" b="9525"/>
            <wp:docPr id="1026"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cstate="print"/>
                    <a:srcRect l="0" t="0" r="0" b="0"/>
                    <a:stretch/>
                  </pic:blipFill>
                  <pic:spPr>
                    <a:xfrm rot="0">
                      <a:off x="0" y="0"/>
                      <a:ext cx="4829175" cy="5133975"/>
                    </a:xfrm>
                    <a:prstGeom prst="rect"/>
                  </pic:spPr>
                </pic:pic>
              </a:graphicData>
            </a:graphic>
          </wp:inline>
        </w:drawing>
      </w:r>
    </w:p>
    <w:p>
      <w:pPr>
        <w:pStyle w:val="style4133"/>
        <w:rPr/>
      </w:pPr>
      <w:r>
        <w:rPr>
          <w:noProof/>
          <w:lang w:val="en-GB" w:eastAsia="en-GB"/>
        </w:rPr>
        <w:drawing>
          <wp:inline distT="0" distB="0" distR="0" distL="0">
            <wp:extent cx="5010150" cy="3171825"/>
            <wp:effectExtent l="0" t="0" r="0" b="9525"/>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010150" cy="3171825"/>
                    </a:xfrm>
                    <a:prstGeom prst="rect"/>
                  </pic:spPr>
                </pic:pic>
              </a:graphicData>
            </a:graphic>
          </wp:inline>
        </w:drawing>
      </w:r>
    </w:p>
    <w:p>
      <w:pPr>
        <w:pStyle w:val="style4133"/>
        <w:tabs>
          <w:tab w:val="left" w:leader="none" w:pos="1560"/>
        </w:tabs>
        <w:jc w:val="left"/>
        <w:rPr/>
      </w:pPr>
      <w:r>
        <w:tab/>
      </w:r>
      <w:r>
        <w:t xml:space="preserve">Figure 1: Status of State campus gun carry laws </w:t>
      </w:r>
    </w:p>
    <w:p>
      <w:pPr>
        <w:pStyle w:val="style4133"/>
        <w:tabs>
          <w:tab w:val="left" w:leader="none" w:pos="1560"/>
        </w:tabs>
        <w:rPr>
          <w:b/>
        </w:rPr>
      </w:pPr>
      <w:r>
        <w:rPr>
          <w:b/>
        </w:rPr>
        <w:t xml:space="preserve">What other Changes in Policy Should take place to decrease the amount of gun </w:t>
      </w:r>
      <w:r>
        <w:rPr>
          <w:b/>
        </w:rPr>
        <w:t>violence</w:t>
      </w:r>
    </w:p>
    <w:p>
      <w:pPr>
        <w:pStyle w:val="style4133"/>
        <w:spacing w:before="100" w:beforeAutospacing="true" w:after="100" w:afterAutospacing="true"/>
        <w:ind w:left="284" w:firstLine="720"/>
        <w:jc w:val="left"/>
        <w:contextualSpacing/>
        <w:rPr/>
      </w:pPr>
      <w:r>
        <w:t xml:space="preserve">The right to acquire </w:t>
      </w:r>
      <w:r>
        <w:t xml:space="preserve">a firearm </w:t>
      </w:r>
      <w:r>
        <w:t>is</w:t>
      </w:r>
      <w:r>
        <w:t xml:space="preserve"> usually </w:t>
      </w:r>
      <w:r>
        <w:t xml:space="preserve">enshrined in the constitution of the United States of America, </w:t>
      </w:r>
      <w:r>
        <w:t>and they are more than two hundred and sixty-five guns owned by private citizens in the country. The following are the ways can be used to reduce the level of firearm violence in the United States of America</w:t>
      </w:r>
    </w:p>
    <w:p>
      <w:pPr>
        <w:pStyle w:val="style4133"/>
        <w:spacing w:before="100" w:beforeAutospacing="true" w:after="100" w:afterAutospacing="true"/>
        <w:jc w:val="left"/>
        <w:contextualSpacing/>
        <w:rPr>
          <w:b/>
        </w:rPr>
      </w:pPr>
      <w:r>
        <w:rPr>
          <w:b/>
        </w:rPr>
        <w:t>Purchasing of firearms should be made like purchasing the cars</w:t>
      </w:r>
    </w:p>
    <w:p>
      <w:pPr>
        <w:pStyle w:val="style4133"/>
        <w:spacing w:before="100" w:beforeAutospacing="true" w:after="100" w:afterAutospacing="true"/>
        <w:ind w:left="284" w:firstLine="720"/>
        <w:jc w:val="left"/>
        <w:contextualSpacing/>
        <w:rPr/>
      </w:pPr>
      <w:r>
        <w:t>The effective policy should be enacted requiring each buyer, of age, to acquire a license which includes the modest gun usage training program, and the registration of the entire</w:t>
      </w:r>
      <w:r>
        <w:t xml:space="preserve"> purchases</w:t>
      </w:r>
      <w:r>
        <w:t>.</w:t>
      </w:r>
    </w:p>
    <w:p>
      <w:pPr>
        <w:pStyle w:val="style4133"/>
        <w:spacing w:before="100" w:beforeAutospacing="true" w:after="100" w:afterAutospacing="true"/>
        <w:ind w:left="284"/>
        <w:jc w:val="left"/>
        <w:contextualSpacing/>
        <w:rPr/>
      </w:pPr>
      <w:r>
        <w:rPr>
          <w:b/>
        </w:rPr>
        <w:t xml:space="preserve">Enactment and passing of firearm laws and policies which will reduce firearm violence </w:t>
      </w:r>
    </w:p>
    <w:p>
      <w:pPr>
        <w:pStyle w:val="style4133"/>
        <w:spacing w:before="100" w:beforeAutospacing="true" w:after="100" w:afterAutospacing="true"/>
        <w:ind w:left="284" w:firstLine="720"/>
        <w:jc w:val="left"/>
        <w:contextualSpacing/>
        <w:rPr/>
      </w:pPr>
      <w:r>
        <w:t xml:space="preserve">The central government and the state legislature should pass laws which should enhance the reduction of gun violence. For example, there should extreme-risk </w:t>
      </w:r>
      <w:r>
        <w:t xml:space="preserve">protection gun orders, also </w:t>
      </w:r>
      <w:r>
        <w:t>called firearm</w:t>
      </w:r>
      <w:r>
        <w:t xml:space="preserve">-violence restraining </w:t>
      </w:r>
      <w:r>
        <w:t>orders. These</w:t>
      </w:r>
      <w:r>
        <w:t xml:space="preserve"> orders will require the law </w:t>
      </w:r>
      <w:r>
        <w:t>enforcement</w:t>
      </w:r>
      <w:r>
        <w:t xml:space="preserve"> agencies and family members to petition </w:t>
      </w:r>
      <w:r>
        <w:t>to bar an at-risk individual from purchasing guns temporarily.</w:t>
      </w: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rPr/>
      </w:pPr>
    </w:p>
    <w:p>
      <w:pPr>
        <w:pStyle w:val="style4133"/>
        <w:jc w:val="left"/>
        <w:rPr/>
      </w:pPr>
      <w:r>
        <w:t xml:space="preserve"> </w:t>
      </w:r>
    </w:p>
    <w:p>
      <w:pPr>
        <w:pStyle w:val="style4133"/>
        <w:rPr/>
      </w:pPr>
    </w:p>
    <w:p>
      <w:pPr>
        <w:pStyle w:val="style4133"/>
        <w:rPr/>
      </w:pPr>
    </w:p>
    <w:p>
      <w:pPr>
        <w:pStyle w:val="style4133"/>
        <w:rPr/>
      </w:pPr>
    </w:p>
    <w:p>
      <w:pPr>
        <w:pStyle w:val="style4133"/>
        <w:jc w:val="left"/>
        <w:rPr/>
      </w:pPr>
    </w:p>
    <w:p>
      <w:pPr>
        <w:pStyle w:val="style4133"/>
        <w:rPr/>
      </w:pPr>
    </w:p>
    <w:p>
      <w:pPr>
        <w:pStyle w:val="style4133"/>
        <w:jc w:val="left"/>
        <w:rPr/>
      </w:pPr>
    </w:p>
    <w:p>
      <w:pPr>
        <w:pStyle w:val="style4133"/>
        <w:jc w:val="left"/>
        <w:rPr/>
      </w:pPr>
    </w:p>
    <w:p>
      <w:pPr>
        <w:pStyle w:val="style4133"/>
        <w:jc w:val="left"/>
        <w:rPr/>
      </w:pPr>
    </w:p>
    <w:p>
      <w:pPr>
        <w:pStyle w:val="style4133"/>
        <w:rPr/>
      </w:pPr>
    </w:p>
    <w:p>
      <w:pPr>
        <w:pStyle w:val="style4133"/>
        <w:rPr/>
      </w:pPr>
    </w:p>
    <w:p>
      <w:pPr>
        <w:pStyle w:val="style4133"/>
        <w:rPr/>
      </w:pPr>
      <w:r>
        <w:t xml:space="preserve">References </w:t>
      </w:r>
    </w:p>
    <w:p>
      <w:pPr>
        <w:pStyle w:val="style0"/>
        <w:spacing w:before="100" w:beforeAutospacing="true" w:after="100" w:afterAutospacing="true"/>
        <w:ind w:left="1004" w:hanging="720"/>
        <w:contextualSpacing/>
        <w:rPr>
          <w:rFonts w:cs="Times New Roman" w:eastAsia="Times New Roman"/>
          <w:color w:val="auto"/>
          <w:lang w:val="en-GB" w:eastAsia="en-GB"/>
        </w:rPr>
      </w:pPr>
      <w:r>
        <w:rPr>
          <w:rFonts w:cs="Times New Roman" w:eastAsia="Times New Roman"/>
          <w:color w:val="auto"/>
          <w:lang w:val="en-GB" w:eastAsia="en-GB"/>
        </w:rPr>
        <w:t xml:space="preserve">Bennett, K., Kraft, J., &amp; Grubb, D. (2012). University Faculty Attitudes Toward Guns on </w:t>
      </w:r>
    </w:p>
    <w:p>
      <w:pPr>
        <w:pStyle w:val="style0"/>
        <w:spacing w:before="100" w:beforeAutospacing="true" w:after="100" w:afterAutospacing="true"/>
        <w:ind w:left="1004" w:hanging="720"/>
        <w:contextualSpacing/>
        <w:rPr>
          <w:rFonts w:cs="Times New Roman" w:eastAsia="Times New Roman"/>
          <w:color w:val="auto"/>
          <w:lang w:val="en-GB" w:eastAsia="en-GB"/>
        </w:rPr>
      </w:pPr>
      <w:r>
        <w:rPr>
          <w:rFonts w:cs="Times New Roman" w:eastAsia="Times New Roman"/>
          <w:color w:val="auto"/>
          <w:lang w:val="en-GB" w:eastAsia="en-GB"/>
        </w:rPr>
        <w:t>Campus. Journal of Criminal Justice Education, 336 -355.</w:t>
      </w:r>
    </w:p>
    <w:p>
      <w:pPr>
        <w:pStyle w:val="style0"/>
        <w:spacing w:before="100" w:beforeAutospacing="true" w:after="100" w:afterAutospacing="true"/>
        <w:ind w:left="1004" w:hanging="720"/>
        <w:contextualSpacing/>
        <w:rPr>
          <w:rFonts w:cs="Times New Roman" w:eastAsia="Times New Roman"/>
          <w:color w:val="auto"/>
          <w:lang w:val="en-GB" w:eastAsia="en-GB"/>
        </w:rPr>
      </w:pPr>
      <w:r>
        <w:rPr>
          <w:rFonts w:cs="Times New Roman" w:eastAsia="Times New Roman"/>
          <w:color w:val="auto"/>
          <w:lang w:val="en-GB" w:eastAsia="en-GB"/>
        </w:rPr>
        <w:t xml:space="preserve">Birnbaum, R. (2012). Ready, Fire, Aim The College Campus Gun Fight. Annual Meeting of the Association for the </w:t>
      </w:r>
      <w:r>
        <w:rPr>
          <w:rFonts w:cs="Times New Roman" w:eastAsia="Times New Roman"/>
          <w:color w:val="auto"/>
          <w:lang w:val="en-GB" w:eastAsia="en-GB"/>
        </w:rPr>
        <w:t>Study of Higher Education(pp. 1-27). Las Vegas: Association for the Study of Higher Education.</w:t>
      </w:r>
    </w:p>
    <w:p>
      <w:pPr>
        <w:pStyle w:val="style0"/>
        <w:spacing w:before="100" w:beforeAutospacing="true" w:after="100" w:afterAutospacing="true"/>
        <w:ind w:left="1004" w:hanging="720"/>
        <w:contextualSpacing/>
        <w:rPr>
          <w:rFonts w:cs="Times New Roman" w:eastAsia="Times New Roman"/>
          <w:color w:val="auto"/>
          <w:lang w:val="en-GB" w:eastAsia="en-GB"/>
        </w:rPr>
      </w:pPr>
      <w:r>
        <w:rPr>
          <w:rFonts w:cs="Times New Roman" w:eastAsia="Times New Roman"/>
          <w:color w:val="auto"/>
          <w:lang w:val="en-GB" w:eastAsia="en-GB"/>
        </w:rPr>
        <w:t>Mohney, G. (2012). Oikos University Shooting: Suspect, One L.Goh, Detained; At Least 7 Dead.Oakland, California: ABC World News.</w:t>
      </w:r>
    </w:p>
    <w:p>
      <w:pPr>
        <w:pStyle w:val="style0"/>
        <w:spacing w:before="100" w:beforeAutospacing="true" w:after="100" w:afterAutospacing="true"/>
        <w:ind w:left="1004" w:hanging="720"/>
        <w:contextualSpacing/>
        <w:rPr>
          <w:rFonts w:ascii="Times New Roman" w:cs="Times New Roman" w:eastAsia="Times New Roman" w:hAnsi="Times New Roman"/>
          <w:color w:val="auto"/>
          <w:lang w:val="en-GB" w:eastAsia="en-GB"/>
        </w:rPr>
      </w:pPr>
      <w:r>
        <w:rPr>
          <w:rFonts w:ascii="Times New Roman" w:cs="Times New Roman" w:eastAsia="Times New Roman" w:hAnsi="Times New Roman"/>
          <w:color w:val="auto"/>
          <w:lang w:val="en-GB" w:eastAsia="en-GB"/>
        </w:rPr>
        <w:t>Smith, T. (2012). To Conceal and</w:t>
      </w:r>
      <w:r>
        <w:rPr>
          <w:rFonts w:ascii="Times New Roman" w:cs="Times New Roman" w:eastAsia="Times New Roman" w:hAnsi="Times New Roman"/>
          <w:color w:val="auto"/>
          <w:lang w:val="en-GB" w:eastAsia="en-GB"/>
        </w:rPr>
        <w:t xml:space="preserve"> Carry or Not to Conceal and Carryon Higher Education Campuses, That is the Question. Journal of Academic Ethics, 237 -242.</w:t>
      </w:r>
    </w:p>
    <w:p>
      <w:pPr>
        <w:pStyle w:val="style0"/>
        <w:spacing w:before="100" w:beforeAutospacing="true" w:after="100" w:afterAutospacing="true"/>
        <w:ind w:left="1004" w:hanging="720"/>
        <w:contextualSpacing/>
        <w:rPr>
          <w:rFonts w:cs="Times New Roman" w:eastAsia="Times New Roman"/>
          <w:color w:val="auto"/>
          <w:lang w:val="en-GB" w:eastAsia="en-GB"/>
        </w:rPr>
      </w:pPr>
      <w:r>
        <w:rPr>
          <w:rFonts w:cs="Times New Roman" w:eastAsia="Times New Roman"/>
          <w:color w:val="auto"/>
          <w:lang w:val="en-GB" w:eastAsia="en-GB"/>
        </w:rPr>
        <w:t xml:space="preserve">Wolfson, J., &amp; Gray, K. (2012, November 30). Wyoming News Source trib.com Casper Star Tribune. Retrieved from Son ki9lls father </w:t>
      </w:r>
      <w:r>
        <w:rPr>
          <w:rFonts w:cs="Times New Roman" w:eastAsia="Times New Roman"/>
          <w:color w:val="auto"/>
          <w:lang w:val="en-GB" w:eastAsia="en-GB"/>
        </w:rPr>
        <w:t>inside Casper College Classroom: http://trib.com/news/local/casper/son-kills-father-inside-casper-college-classroom/article_66f20112-3bfb-5815-992f-1e868d9c5e75.htm</w:t>
      </w:r>
      <w:r>
        <w:rPr>
          <w:rFonts w:cs="Times New Roman" w:eastAsia="Times New Roman"/>
          <w:color w:val="auto"/>
          <w:lang w:val="en-GB" w:eastAsia="en-GB"/>
        </w:rPr>
        <w:t>l</w:t>
      </w:r>
    </w:p>
    <w:p>
      <w:pPr>
        <w:pStyle w:val="style4133"/>
        <w:rPr/>
      </w:pPr>
    </w:p>
    <w:p>
      <w:pPr>
        <w:pStyle w:val="style4133"/>
        <w:rPr/>
      </w:pPr>
    </w:p>
    <w:p>
      <w:pPr>
        <w:pStyle w:val="style4133"/>
        <w:jc w:val="left"/>
        <w:rPr/>
      </w:pPr>
    </w:p>
    <w:bookmarkEnd w:id="0"/>
    <w:p>
      <w:pPr>
        <w:pStyle w:val="style4133"/>
        <w:rPr/>
      </w:pPr>
    </w:p>
    <w:sectPr>
      <w:headerReference w:type="default" r:id="rId4"/>
      <w:headerReference w:type="first" r:id="rId5"/>
      <w:footnotePr>
        <w:pos w:val="beneathText"/>
      </w:footnotePr>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0030001010101"/>
    <w:charset w:val="86"/>
    <w:family w:val="modern"/>
    <w:pitch w:val="fixed"/>
    <w:sig w:usb0="00000001" w:usb1="080E0000" w:usb2="00000010" w:usb3="00000000" w:csb0="00040000" w:csb1="00000000"/>
  </w:font>
  <w:font w:name="Segoe UI">
    <w:altName w:val="Segoe UI"/>
    <w:panose1 w:val="020b0502040002020203"/>
    <w:charset w:val="00"/>
    <w:family w:val="swiss"/>
    <w:pitch w:val="variable"/>
    <w:sig w:usb0="E4002EFF" w:usb1="C000E47F" w:usb2="00000009" w:usb3="00000000" w:csb0="000001FF" w:csb1="00000000"/>
  </w:font>
  <w:font w:name="Consolas">
    <w:altName w:val="Consolas"/>
    <w:panose1 w:val="020b0609020002030204"/>
    <w:charset w:val="00"/>
    <w:family w:val="modern"/>
    <w:pitch w:val="fixed"/>
    <w:sig w:usb0="E00006FF" w:usb1="0000F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Style w:val="style4139"/>
      <w:tblW w:w="0" w:type="auto"/>
      <w:tblLook w:val="04A0" w:firstRow="1" w:lastRow="0" w:firstColumn="1" w:lastColumn="0" w:noHBand="0" w:noVBand="1"/>
      <w:tblDescription w:val="Header layout table"/>
    </w:tblPr>
    <w:tblGrid>
      <w:gridCol w:w="8280"/>
      <w:gridCol w:w="1080"/>
    </w:tblGrid>
    <w:tr>
      <w:trPr/>
      <w:tc>
        <w:tcPr>
          <w:tcW w:w="8280" w:type="dxa"/>
          <w:tcBorders/>
        </w:tcPr>
        <w:p>
          <w:pPr>
            <w:pStyle w:val="style31"/>
            <w:rPr>
              <w:rFonts w:cs="Times New Roman"/>
            </w:rPr>
          </w:pPr>
          <w:r>
            <w:rPr>
              <w:rFonts w:cs="Times New Roman"/>
            </w:rPr>
            <w:t xml:space="preserve">GUN  VIOLENCE IN HIGHER LEARNING INSTITUTIONS IN U.S  </w:t>
          </w:r>
        </w:p>
      </w:tc>
      <w:tc>
        <w:tcPr>
          <w:tcW w:w="1080" w:type="dxa"/>
          <w:tcBorders/>
        </w:tcPr>
        <w:p>
          <w:pPr>
            <w:pStyle w:val="style31"/>
            <w:jc w:val="right"/>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Pr>
              <w:rFonts w:cs="Times New Roman"/>
              <w:noProof/>
            </w:rPr>
            <w:t>3</w:t>
          </w:r>
          <w:r>
            <w:rPr>
              <w:rFonts w:cs="Times New Roman"/>
              <w:noProof/>
            </w:rPr>
            <w:fldChar w:fldCharType="end"/>
          </w:r>
        </w:p>
      </w:tc>
    </w:tr>
  </w:tbl>
  <w:p>
    <w:pPr>
      <w:pStyle w:val="style31"/>
      <w:rPr>
        <w:rFonts w:cs="Times New Roman"/>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tbl>
    <w:tblPr>
      <w:tblStyle w:val="style4139"/>
      <w:tblW w:w="0" w:type="auto"/>
      <w:tblLook w:val="04A0" w:firstRow="1" w:lastRow="0" w:firstColumn="1" w:lastColumn="0" w:noHBand="0" w:noVBand="1"/>
      <w:tblDescription w:val="Header layout table"/>
    </w:tblPr>
    <w:tblGrid>
      <w:gridCol w:w="8280"/>
      <w:gridCol w:w="1080"/>
    </w:tblGrid>
    <w:tr>
      <w:trPr/>
      <w:tc>
        <w:tcPr>
          <w:tcW w:w="8280" w:type="dxa"/>
          <w:tcBorders/>
        </w:tcPr>
        <w:p>
          <w:pPr>
            <w:pStyle w:val="style31"/>
            <w:rPr/>
          </w:pPr>
          <w:r>
            <w:t>Running head: GUN VIOLENCE IN HIGHER LEARNING INSTITUTIONS IN U.S</w:t>
          </w:r>
        </w:p>
      </w:tc>
      <w:tc>
        <w:tcPr>
          <w:tcW w:w="1080" w:type="dxa"/>
          <w:tcBorders/>
        </w:tcPr>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tc>
    </w:tr>
  </w:tbl>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1">
    <w:nsid w:val="00000001"/>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2">
    <w:nsid w:val="00000002"/>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3">
    <w:nsid w:val="00000003"/>
    <w:multiLevelType w:val="singleLevel"/>
    <w:tmpl w:val="F2DC96EC"/>
    <w:lvl w:ilvl="0">
      <w:start w:val="1"/>
      <w:numFmt w:val="decimal"/>
      <w:pStyle w:val="style59"/>
      <w:lvlText w:val="%1."/>
      <w:lvlJc w:val="left"/>
      <w:pPr>
        <w:tabs>
          <w:tab w:val="left" w:leader="none" w:pos="1080"/>
        </w:tabs>
        <w:ind w:left="1080" w:hanging="360"/>
      </w:pPr>
    </w:lvl>
  </w:abstractNum>
  <w:abstractNum w:abstractNumId="4">
    <w:nsid w:val="00000004"/>
    <w:multiLevelType w:val="singleLevel"/>
    <w:tmpl w:val="94D2CA36"/>
    <w:lvl w:ilvl="0">
      <w:start w:val="1"/>
      <w:numFmt w:val="decimal"/>
      <w:pStyle w:val="style58"/>
      <w:lvlText w:val="%1."/>
      <w:lvlJc w:val="left"/>
      <w:pPr>
        <w:tabs>
          <w:tab w:val="left" w:leader="none" w:pos="720"/>
        </w:tabs>
        <w:ind w:left="720" w:hanging="360"/>
      </w:pPr>
    </w:lvl>
  </w:abstractNum>
  <w:abstractNum w:abstractNumId="5">
    <w:nsid w:val="00000005"/>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6ED08D94"/>
    <w:lvl w:ilvl="0">
      <w:start w:val="1"/>
      <w:numFmt w:val="decimal"/>
      <w:pStyle w:val="style61"/>
      <w:lvlText w:val="%1."/>
      <w:lvlJc w:val="left"/>
      <w:pPr>
        <w:tabs>
          <w:tab w:val="left" w:leader="none" w:pos="1800"/>
        </w:tabs>
        <w:ind w:left="1800" w:hanging="360"/>
      </w:pPr>
    </w:lvl>
  </w:abstractNum>
  <w:abstractNum w:abstractNumId="7">
    <w:nsid w:val="00000007"/>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8">
    <w:nsid w:val="00000008"/>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9">
    <w:nsid w:val="00000009"/>
    <w:multiLevelType w:val="singleLevel"/>
    <w:tmpl w:val="3D5203EE"/>
    <w:lvl w:ilvl="0">
      <w:start w:val="1"/>
      <w:numFmt w:val="decimal"/>
      <w:pStyle w:val="style60"/>
      <w:lvlText w:val="%1."/>
      <w:lvlJc w:val="left"/>
      <w:pPr>
        <w:tabs>
          <w:tab w:val="left" w:leader="none" w:pos="1440"/>
        </w:tabs>
        <w:ind w:left="1440" w:hanging="360"/>
      </w:pPr>
    </w:lvl>
  </w:abstractNum>
  <w:num w:numId="1">
    <w:abstractNumId w:val="3"/>
  </w:num>
  <w:num w:numId="2">
    <w:abstractNumId w:val="5"/>
    <w:lvlOverride w:ilvl="0">
      <w:startOverride w:val="1"/>
    </w:lvlOverride>
  </w:num>
  <w:num w:numId="3">
    <w:abstractNumId w:val="9"/>
  </w:num>
  <w:num w:numId="4">
    <w:abstractNumId w:val="2"/>
  </w:num>
  <w:num w:numId="5">
    <w:abstractNumId w:val="7"/>
  </w:num>
  <w:num w:numId="6">
    <w:abstractNumId w:val="8"/>
  </w:num>
  <w:num w:numId="7">
    <w:abstractNumId w:val="6"/>
  </w:num>
  <w:num w:numId="8">
    <w:abstractNumId w:val="5"/>
  </w:num>
  <w:num w:numId="9">
    <w:abstractNumId w:val="4"/>
  </w:num>
  <w:num w:numId="10">
    <w:abstractNumId w:val="1"/>
  </w:num>
  <w:num w:numId="1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color w:val="000000"/>
        <w:sz w:val="24"/>
        <w:szCs w:val="24"/>
        <w:lang w:val="en-US" w:bidi="ar-SA" w:eastAsia="ja-JP"/>
      </w:rPr>
    </w:rPrDefault>
    <w:pPrDefault>
      <w:pPr>
        <w:spacing w:lineRule="auto" w:line="480"/>
        <w:ind w:firstLine="720"/>
      </w:pPr>
    </w:pPrDefault>
  </w:docDefaults>
  <w:style w:type="paragraph" w:default="1" w:styleId="style0">
    <w:name w:val="Normal"/>
    <w:next w:val="style0"/>
    <w:qFormat/>
    <w:pPr/>
  </w:style>
  <w:style w:type="paragraph" w:styleId="style1">
    <w:name w:val="heading 1"/>
    <w:basedOn w:val="style0"/>
    <w:next w:val="style0"/>
    <w:link w:val="style4099"/>
    <w:qFormat/>
    <w:uiPriority w:val="5"/>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5"/>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5"/>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5"/>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5"/>
    <w:pPr>
      <w:keepNext/>
      <w:keepLines/>
      <w:outlineLvl w:val="4"/>
    </w:pPr>
    <w:rPr>
      <w:rFonts w:ascii="Times New Roman" w:cs="宋体" w:eastAsia="宋体" w:hAnsi="Times New Roman"/>
      <w:i/>
      <w:iCs/>
    </w:rPr>
  </w:style>
  <w:style w:type="paragraph" w:styleId="style6">
    <w:name w:val="heading 6"/>
    <w:basedOn w:val="style0"/>
    <w:next w:val="style0"/>
    <w:link w:val="style4122"/>
    <w:qFormat/>
    <w:uiPriority w:val="5"/>
    <w:pPr>
      <w:keepNext/>
      <w:keepLines/>
      <w:spacing w:before="40"/>
      <w:ind w:firstLine="0"/>
      <w:outlineLvl w:val="5"/>
    </w:pPr>
    <w:rPr>
      <w:rFonts w:ascii="Times New Roman" w:cs="宋体" w:eastAsia="宋体" w:hAnsi="Times New Roman"/>
      <w:color w:val="6e6e6e"/>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945a2ee7-cac9-4391-8640-a6b12b77c440"/>
    <w:basedOn w:val="style65"/>
    <w:next w:val="style4098"/>
    <w:link w:val="style31"/>
    <w:uiPriority w:val="99"/>
  </w:style>
  <w:style w:type="character" w:styleId="style156">
    <w:name w:val="Placeholder Text"/>
    <w:basedOn w:val="style65"/>
    <w:next w:val="style156"/>
    <w:uiPriority w:val="99"/>
    <w:rPr>
      <w:color w:val="000000"/>
    </w:rPr>
  </w:style>
  <w:style w:type="paragraph" w:styleId="style157">
    <w:name w:val="No Spacing"/>
    <w:next w:val="style157"/>
    <w:qFormat/>
    <w:uiPriority w:val="3"/>
    <w:pPr>
      <w:ind w:firstLine="0"/>
    </w:pPr>
    <w:rPr/>
  </w:style>
  <w:style w:type="character" w:customStyle="1" w:styleId="style4099">
    <w:name w:val="Heading 1 Char_3933ada7-51b6-43e5-95cd-dd17a66b3aa6"/>
    <w:basedOn w:val="style65"/>
    <w:next w:val="style4099"/>
    <w:link w:val="style1"/>
    <w:uiPriority w:val="5"/>
    <w:rPr>
      <w:rFonts w:ascii="Times New Roman" w:cs="宋体" w:eastAsia="宋体" w:hAnsi="Times New Roman"/>
      <w:b/>
      <w:bCs/>
    </w:rPr>
  </w:style>
  <w:style w:type="character" w:customStyle="1" w:styleId="style4100">
    <w:name w:val="Heading 2 Char_33edb0e9-c8dd-4ede-a7e8-ca109bfb514e"/>
    <w:basedOn w:val="style65"/>
    <w:next w:val="style4100"/>
    <w:link w:val="style2"/>
    <w:uiPriority w:val="5"/>
    <w:rPr>
      <w:rFonts w:ascii="Times New Roman" w:cs="宋体" w:eastAsia="宋体" w:hAnsi="Times New Roman"/>
      <w:b/>
      <w:bCs/>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31525010-d702-4bff-a95b-6f43b8aef0a2"/>
    <w:basedOn w:val="style65"/>
    <w:next w:val="style4101"/>
    <w:link w:val="style62"/>
    <w:uiPriority w:val="1"/>
    <w:rPr>
      <w:rFonts w:ascii="Times New Roman" w:cs="宋体" w:eastAsia="宋体" w:hAnsi="Times New Roman"/>
    </w:rPr>
  </w:style>
  <w:style w:type="character" w:styleId="style88">
    <w:name w:val="Emphasis"/>
    <w:basedOn w:val="style65"/>
    <w:next w:val="style88"/>
    <w:qFormat/>
    <w:uiPriority w:val="4"/>
    <w:rPr>
      <w:i/>
      <w:iCs/>
    </w:rPr>
  </w:style>
  <w:style w:type="character" w:customStyle="1" w:styleId="style4102">
    <w:name w:val="Heading 3 Char_5a2229ba-f916-43d4-8dde-858534ade8f6"/>
    <w:basedOn w:val="style65"/>
    <w:next w:val="style4102"/>
    <w:link w:val="style3"/>
    <w:uiPriority w:val="5"/>
    <w:rPr>
      <w:rFonts w:ascii="Times New Roman" w:cs="宋体" w:eastAsia="宋体" w:hAnsi="Times New Roman"/>
      <w:b/>
      <w:bCs/>
    </w:rPr>
  </w:style>
  <w:style w:type="character" w:customStyle="1" w:styleId="style4103">
    <w:name w:val="Heading 4 Char_9e4c30da-d2ab-4d28-835f-923b4f5a991b"/>
    <w:basedOn w:val="style65"/>
    <w:next w:val="style4103"/>
    <w:link w:val="style4"/>
    <w:uiPriority w:val="5"/>
    <w:rPr>
      <w:rFonts w:ascii="Times New Roman" w:cs="宋体" w:eastAsia="宋体" w:hAnsi="Times New Roman"/>
      <w:b/>
      <w:bCs/>
      <w:i/>
      <w:iCs/>
    </w:rPr>
  </w:style>
  <w:style w:type="character" w:customStyle="1" w:styleId="style4104">
    <w:name w:val="Heading 5 Char_e036d4a9-21da-4b49-a189-ee9218176da2"/>
    <w:basedOn w:val="style65"/>
    <w:next w:val="style4104"/>
    <w:link w:val="style5"/>
    <w:uiPriority w:val="5"/>
    <w:rPr>
      <w:rFonts w:ascii="Times New Roman" w:cs="宋体" w:eastAsia="宋体" w:hAnsi="Times New Roman"/>
      <w:i/>
      <w:iCs/>
    </w:rPr>
  </w:style>
  <w:style w:type="paragraph" w:styleId="style153">
    <w:name w:val="Balloon Text"/>
    <w:basedOn w:val="style0"/>
    <w:next w:val="style153"/>
    <w:link w:val="style4105"/>
    <w:uiPriority w:val="99"/>
    <w:pPr>
      <w:spacing w:lineRule="auto" w:line="240"/>
      <w:ind w:firstLine="0"/>
    </w:pPr>
    <w:rPr>
      <w:rFonts w:ascii="Segoe UI" w:cs="Segoe UI" w:hAnsi="Segoe UI"/>
      <w:sz w:val="22"/>
      <w:szCs w:val="18"/>
    </w:rPr>
  </w:style>
  <w:style w:type="character" w:customStyle="1" w:styleId="style4105">
    <w:name w:val="Balloon Text Char"/>
    <w:basedOn w:val="style65"/>
    <w:next w:val="style4105"/>
    <w:link w:val="style153"/>
    <w:uiPriority w:val="99"/>
    <w:rPr>
      <w:rFonts w:ascii="Segoe UI" w:cs="Segoe UI" w:hAnsi="Segoe UI"/>
      <w:sz w:val="22"/>
      <w:szCs w:val="18"/>
    </w:rPr>
  </w:style>
  <w:style w:type="paragraph" w:styleId="style265">
    <w:name w:val="Bibliography"/>
    <w:basedOn w:val="style0"/>
    <w:next w:val="style0"/>
    <w:qFormat/>
    <w:uiPriority w:val="6"/>
    <w:pPr>
      <w:ind w:left="720" w:hanging="720"/>
    </w:pPr>
    <w:rPr/>
  </w:style>
  <w:style w:type="paragraph" w:styleId="style84">
    <w:name w:val="Block Text"/>
    <w:basedOn w:val="style0"/>
    <w:next w:val="style84"/>
    <w:uiPriority w:val="99"/>
    <w:pPr>
      <w:pBdr>
        <w:left w:val="single" w:sz="2" w:space="10" w:color="000000" w:shadow="true"/>
        <w:right w:val="single" w:sz="2" w:space="10" w:color="000000" w:shadow="true"/>
        <w:top w:val="single" w:sz="2" w:space="10" w:color="000000" w:shadow="true"/>
        <w:bottom w:val="single" w:sz="2" w:space="10" w:color="000000" w:shadow="true"/>
      </w:pBdr>
      <w:ind w:left="1152" w:right="1152" w:firstLine="0"/>
    </w:pPr>
    <w:rPr>
      <w:i/>
      <w:iCs/>
      <w:color w:val="000000"/>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22"/>
      <w:szCs w:val="16"/>
    </w:rPr>
  </w:style>
  <w:style w:type="character" w:customStyle="1" w:styleId="style4108">
    <w:name w:val="Body Text 3 Char"/>
    <w:basedOn w:val="style65"/>
    <w:next w:val="style4108"/>
    <w:link w:val="style81"/>
    <w:uiPriority w:val="99"/>
    <w:rPr>
      <w:sz w:val="22"/>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22"/>
      <w:szCs w:val="16"/>
    </w:rPr>
  </w:style>
  <w:style w:type="character" w:customStyle="1" w:styleId="style4113">
    <w:name w:val="Body Text Indent 3 Char"/>
    <w:basedOn w:val="style65"/>
    <w:next w:val="style4113"/>
    <w:link w:val="style83"/>
    <w:uiPriority w:val="99"/>
    <w:rPr>
      <w:sz w:val="22"/>
      <w:szCs w:val="16"/>
    </w:rPr>
  </w:style>
  <w:style w:type="paragraph" w:styleId="style34">
    <w:name w:val="caption"/>
    <w:basedOn w:val="style0"/>
    <w:next w:val="style0"/>
    <w:qFormat/>
    <w:uiPriority w:val="35"/>
    <w:pPr>
      <w:spacing w:after="200" w:lineRule="auto" w:line="240"/>
      <w:ind w:firstLine="0"/>
    </w:pPr>
    <w:rPr>
      <w:i/>
      <w:iCs/>
      <w:color w:val="000000"/>
      <w:sz w:val="22"/>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2"/>
      <w:szCs w:val="20"/>
    </w:rPr>
  </w:style>
  <w:style w:type="character" w:customStyle="1" w:styleId="style4115">
    <w:name w:val="Comment Text Char"/>
    <w:basedOn w:val="style65"/>
    <w:next w:val="style4115"/>
    <w:link w:val="style30"/>
    <w:uiPriority w:val="99"/>
    <w:rPr>
      <w:sz w:val="22"/>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sz w:val="22"/>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22"/>
      <w:szCs w:val="16"/>
    </w:rPr>
  </w:style>
  <w:style w:type="character" w:customStyle="1" w:styleId="style4118">
    <w:name w:val="Document Map Char"/>
    <w:basedOn w:val="style65"/>
    <w:next w:val="style4118"/>
    <w:link w:val="style89"/>
    <w:uiPriority w:val="99"/>
    <w:rPr>
      <w:rFonts w:ascii="Segoe UI" w:cs="Segoe UI" w:hAnsi="Segoe UI"/>
      <w:sz w:val="22"/>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2"/>
      <w:szCs w:val="20"/>
    </w:rPr>
  </w:style>
  <w:style w:type="character" w:customStyle="1" w:styleId="style4120">
    <w:name w:val="Footnote Text Char"/>
    <w:basedOn w:val="style65"/>
    <w:next w:val="style4120"/>
    <w:link w:val="style29"/>
    <w:uiPriority w:val="99"/>
    <w:rPr>
      <w:sz w:val="22"/>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2"/>
      <w:szCs w:val="20"/>
    </w:rPr>
  </w:style>
  <w:style w:type="table" w:styleId="style154">
    <w:name w:val="Table Grid"/>
    <w:basedOn w:val="style105"/>
    <w:next w:val="style154"/>
    <w:uiPriority w:val="39"/>
    <w:pPr>
      <w:spacing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121">
    <w:name w:val="Grid Table Light"/>
    <w:basedOn w:val="style105"/>
    <w:next w:val="style4121"/>
    <w:uiPriority w:val="40"/>
    <w:pPr>
      <w:spacing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22">
    <w:name w:val="Heading 6 Char_a732d240-fc57-4adf-b9d1-6b19a7b20f4a"/>
    <w:basedOn w:val="style65"/>
    <w:next w:val="style4122"/>
    <w:link w:val="style6"/>
    <w:uiPriority w:val="5"/>
    <w:rPr>
      <w:rFonts w:ascii="Times New Roman" w:cs="宋体" w:eastAsia="宋体" w:hAnsi="Times New Roman"/>
      <w:color w:val="6e6e6e"/>
    </w:rPr>
  </w:style>
  <w:style w:type="paragraph" w:styleId="style96">
    <w:name w:val="HTML Address"/>
    <w:basedOn w:val="style0"/>
    <w:next w:val="style96"/>
    <w:link w:val="style4123"/>
    <w:uiPriority w:val="99"/>
    <w:pPr>
      <w:spacing w:lineRule="auto" w:line="240"/>
      <w:ind w:firstLine="0"/>
    </w:pPr>
    <w:rPr>
      <w:i/>
      <w:iCs/>
    </w:rPr>
  </w:style>
  <w:style w:type="character" w:customStyle="1" w:styleId="style4123">
    <w:name w:val="HTML Address Char"/>
    <w:basedOn w:val="style65"/>
    <w:next w:val="style4123"/>
    <w:link w:val="style96"/>
    <w:uiPriority w:val="99"/>
    <w:rPr>
      <w:i/>
      <w:iCs/>
      <w:kern w:val="24"/>
    </w:rPr>
  </w:style>
  <w:style w:type="paragraph" w:styleId="style101">
    <w:name w:val="HTML Preformatted"/>
    <w:basedOn w:val="style0"/>
    <w:next w:val="style101"/>
    <w:link w:val="style4124"/>
    <w:uiPriority w:val="99"/>
    <w:pPr>
      <w:spacing w:lineRule="auto" w:line="240"/>
      <w:ind w:firstLine="0"/>
    </w:pPr>
    <w:rPr>
      <w:rFonts w:ascii="Consolas" w:cs="Consolas" w:hAnsi="Consolas"/>
      <w:sz w:val="22"/>
      <w:szCs w:val="20"/>
    </w:rPr>
  </w:style>
  <w:style w:type="character" w:customStyle="1" w:styleId="style4124">
    <w:name w:val="HTML Preformatted Char"/>
    <w:basedOn w:val="style65"/>
    <w:next w:val="style4124"/>
    <w:link w:val="style101"/>
    <w:uiPriority w:val="99"/>
    <w:rPr>
      <w:rFonts w:ascii="Consolas" w:cs="Consolas" w:hAnsi="Consolas"/>
      <w:sz w:val="22"/>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5"/>
    <w:qFormat/>
    <w:uiPriority w:val="30"/>
    <w:pPr>
      <w:pBdr>
        <w:top w:val="single" w:sz="4" w:space="10" w:color="6e6e6e"/>
        <w:bottom w:val="single" w:sz="4" w:space="10" w:color="6e6e6e"/>
      </w:pBdr>
      <w:spacing w:before="360" w:after="360"/>
      <w:ind w:left="864" w:right="864" w:firstLine="0"/>
      <w:jc w:val="center"/>
    </w:pPr>
    <w:rPr>
      <w:i/>
      <w:iCs/>
      <w:color w:val="6e6e6e"/>
    </w:rPr>
  </w:style>
  <w:style w:type="character" w:customStyle="1" w:styleId="style4125">
    <w:name w:val="Intense Quote Char_bdfe6c14-f962-4af7-9498-56befc1462d0"/>
    <w:basedOn w:val="style65"/>
    <w:next w:val="style4125"/>
    <w:link w:val="style181"/>
    <w:uiPriority w:val="30"/>
    <w:rPr>
      <w:i/>
      <w:iCs/>
      <w:color w:val="6e6e6e"/>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8"/>
    <w:pPr>
      <w:numPr>
        <w:ilvl w:val="0"/>
        <w:numId w:val="8"/>
      </w:numPr>
      <w:contextualSpacing/>
    </w:pPr>
    <w:rPr/>
  </w:style>
  <w:style w:type="paragraph" w:styleId="style54">
    <w:name w:val="List Bullet 2"/>
    <w:basedOn w:val="style0"/>
    <w:next w:val="style54"/>
    <w:uiPriority w:val="99"/>
    <w:pPr>
      <w:numPr>
        <w:ilvl w:val="0"/>
        <w:numId w:val="11"/>
      </w:numPr>
      <w:ind w:firstLine="0"/>
      <w:contextualSpacing/>
    </w:pPr>
    <w:rPr/>
  </w:style>
  <w:style w:type="paragraph" w:styleId="style55">
    <w:name w:val="List Bullet 3"/>
    <w:basedOn w:val="style0"/>
    <w:next w:val="style55"/>
    <w:uiPriority w:val="99"/>
    <w:pPr>
      <w:numPr>
        <w:ilvl w:val="0"/>
        <w:numId w:val="5"/>
      </w:numPr>
      <w:ind w:firstLine="0"/>
      <w:contextualSpacing/>
    </w:pPr>
    <w:rPr/>
  </w:style>
  <w:style w:type="paragraph" w:styleId="style56">
    <w:name w:val="List Bullet 4"/>
    <w:basedOn w:val="style0"/>
    <w:next w:val="style56"/>
    <w:uiPriority w:val="99"/>
    <w:pPr>
      <w:numPr>
        <w:ilvl w:val="0"/>
        <w:numId w:val="6"/>
      </w:numPr>
      <w:ind w:firstLine="0"/>
      <w:contextualSpacing/>
    </w:pPr>
    <w:rPr/>
  </w:style>
  <w:style w:type="paragraph" w:styleId="style57">
    <w:name w:val="List Bullet 5"/>
    <w:basedOn w:val="style0"/>
    <w:next w:val="style57"/>
    <w:uiPriority w:val="99"/>
    <w:pPr>
      <w:numPr>
        <w:ilvl w:val="0"/>
        <w:numId w:val="4"/>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8"/>
    <w:pPr>
      <w:numPr>
        <w:ilvl w:val="0"/>
        <w:numId w:val="10"/>
      </w:numPr>
      <w:contextualSpacing/>
    </w:pPr>
    <w:rPr/>
  </w:style>
  <w:style w:type="paragraph" w:styleId="style58">
    <w:name w:val="List Number 2"/>
    <w:basedOn w:val="style0"/>
    <w:next w:val="style58"/>
    <w:uiPriority w:val="99"/>
    <w:pPr>
      <w:numPr>
        <w:ilvl w:val="0"/>
        <w:numId w:val="9"/>
      </w:numPr>
      <w:ind w:firstLine="0"/>
      <w:contextualSpacing/>
    </w:pPr>
    <w:rPr/>
  </w:style>
  <w:style w:type="paragraph" w:styleId="style59">
    <w:name w:val="List Number 3"/>
    <w:basedOn w:val="style0"/>
    <w:next w:val="style59"/>
    <w:uiPriority w:val="99"/>
    <w:pPr>
      <w:numPr>
        <w:ilvl w:val="0"/>
        <w:numId w:val="1"/>
      </w:numPr>
      <w:ind w:firstLine="0"/>
      <w:contextualSpacing/>
    </w:pPr>
    <w:rPr/>
  </w:style>
  <w:style w:type="paragraph" w:styleId="style60">
    <w:name w:val="List Number 4"/>
    <w:basedOn w:val="style0"/>
    <w:next w:val="style60"/>
    <w:uiPriority w:val="99"/>
    <w:pPr>
      <w:numPr>
        <w:ilvl w:val="0"/>
        <w:numId w:val="3"/>
      </w:numPr>
      <w:ind w:firstLine="0"/>
      <w:contextualSpacing/>
    </w:pPr>
    <w:rPr/>
  </w:style>
  <w:style w:type="paragraph" w:styleId="style61">
    <w:name w:val="List Number 5"/>
    <w:basedOn w:val="style0"/>
    <w:next w:val="style61"/>
    <w:uiPriority w:val="99"/>
    <w:pPr>
      <w:numPr>
        <w:ilvl w:val="0"/>
        <w:numId w:val="7"/>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26"/>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2"/>
      <w:szCs w:val="20"/>
    </w:rPr>
  </w:style>
  <w:style w:type="character" w:customStyle="1" w:styleId="style4126">
    <w:name w:val="Macro Text Char"/>
    <w:basedOn w:val="style65"/>
    <w:next w:val="style4126"/>
    <w:link w:val="style45"/>
    <w:uiPriority w:val="99"/>
    <w:rPr>
      <w:rFonts w:ascii="Consolas" w:cs="Consolas" w:hAnsi="Consolas"/>
      <w:kern w:val="24"/>
      <w:sz w:val="22"/>
      <w:szCs w:val="20"/>
    </w:rPr>
  </w:style>
  <w:style w:type="paragraph" w:styleId="style73">
    <w:name w:val="Message Header"/>
    <w:basedOn w:val="style0"/>
    <w:next w:val="style73"/>
    <w:link w:val="style4127"/>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27">
    <w:name w:val="Message Header Char"/>
    <w:basedOn w:val="style65"/>
    <w:next w:val="style4127"/>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28"/>
    <w:uiPriority w:val="99"/>
    <w:pPr>
      <w:spacing w:lineRule="auto" w:line="240"/>
      <w:ind w:firstLine="0"/>
    </w:pPr>
    <w:rPr/>
  </w:style>
  <w:style w:type="character" w:customStyle="1" w:styleId="style4128">
    <w:name w:val="Note Heading Char"/>
    <w:basedOn w:val="style65"/>
    <w:next w:val="style4128"/>
    <w:link w:val="style79"/>
    <w:uiPriority w:val="99"/>
    <w:rPr>
      <w:kern w:val="24"/>
    </w:rPr>
  </w:style>
  <w:style w:type="paragraph" w:styleId="style90">
    <w:name w:val="Plain Text"/>
    <w:basedOn w:val="style0"/>
    <w:next w:val="style90"/>
    <w:link w:val="style4129"/>
    <w:uiPriority w:val="99"/>
    <w:pPr>
      <w:spacing w:lineRule="auto" w:line="240"/>
      <w:ind w:firstLine="0"/>
    </w:pPr>
    <w:rPr>
      <w:rFonts w:ascii="Consolas" w:cs="Consolas" w:hAnsi="Consolas"/>
      <w:sz w:val="22"/>
      <w:szCs w:val="21"/>
    </w:rPr>
  </w:style>
  <w:style w:type="character" w:customStyle="1" w:styleId="style4129">
    <w:name w:val="Plain Text Char"/>
    <w:basedOn w:val="style65"/>
    <w:next w:val="style4129"/>
    <w:link w:val="style90"/>
    <w:uiPriority w:val="99"/>
    <w:rPr>
      <w:rFonts w:ascii="Consolas" w:cs="Consolas" w:hAnsi="Consolas"/>
      <w:sz w:val="22"/>
      <w:szCs w:val="21"/>
    </w:rPr>
  </w:style>
  <w:style w:type="paragraph" w:styleId="style180">
    <w:name w:val="Quote"/>
    <w:basedOn w:val="style0"/>
    <w:next w:val="style0"/>
    <w:link w:val="style4130"/>
    <w:qFormat/>
    <w:uiPriority w:val="29"/>
    <w:pPr>
      <w:spacing w:before="200" w:after="160"/>
      <w:ind w:left="864" w:right="864" w:firstLine="0"/>
      <w:jc w:val="center"/>
    </w:pPr>
    <w:rPr>
      <w:i/>
      <w:iCs/>
      <w:color w:val="404040"/>
    </w:rPr>
  </w:style>
  <w:style w:type="character" w:customStyle="1" w:styleId="style4130">
    <w:name w:val="Quote Char_8db05ecb-38d2-410f-8c4e-e79229b33b56"/>
    <w:basedOn w:val="style65"/>
    <w:next w:val="style4130"/>
    <w:link w:val="style180"/>
    <w:uiPriority w:val="29"/>
    <w:rPr>
      <w:i/>
      <w:iCs/>
      <w:color w:val="404040"/>
      <w:kern w:val="24"/>
    </w:rPr>
  </w:style>
  <w:style w:type="paragraph" w:styleId="style75">
    <w:name w:val="Salutation"/>
    <w:basedOn w:val="style0"/>
    <w:next w:val="style0"/>
    <w:link w:val="style4131"/>
    <w:uiPriority w:val="99"/>
    <w:pPr>
      <w:ind w:firstLine="0"/>
    </w:pPr>
    <w:rPr/>
  </w:style>
  <w:style w:type="character" w:customStyle="1" w:styleId="style4131">
    <w:name w:val="Salutation Char"/>
    <w:basedOn w:val="style65"/>
    <w:next w:val="style4131"/>
    <w:link w:val="style75"/>
    <w:uiPriority w:val="99"/>
    <w:rPr>
      <w:kern w:val="24"/>
    </w:rPr>
  </w:style>
  <w:style w:type="paragraph" w:styleId="style64">
    <w:name w:val="Signature"/>
    <w:basedOn w:val="style0"/>
    <w:next w:val="style64"/>
    <w:link w:val="style4132"/>
    <w:uiPriority w:val="99"/>
    <w:pPr>
      <w:spacing w:lineRule="auto" w:line="240"/>
      <w:ind w:left="4320" w:firstLine="0"/>
    </w:pPr>
    <w:rPr/>
  </w:style>
  <w:style w:type="character" w:customStyle="1" w:styleId="style4132">
    <w:name w:val="Signature Char"/>
    <w:basedOn w:val="style65"/>
    <w:next w:val="style4132"/>
    <w:link w:val="style64"/>
    <w:uiPriority w:val="99"/>
    <w:rPr>
      <w:kern w:val="24"/>
    </w:rPr>
  </w:style>
  <w:style w:type="paragraph" w:customStyle="1" w:styleId="style4133">
    <w:name w:val="Title 2"/>
    <w:basedOn w:val="style0"/>
    <w:next w:val="style4133"/>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4">
    <w:name w:val="APA Report"/>
    <w:basedOn w:val="style105"/>
    <w:next w:val="style4134"/>
    <w:uiPriority w:val="99"/>
    <w:pPr>
      <w:spacing w:lineRule="auto" w:line="240"/>
      <w:ind w:firstLine="0"/>
    </w:pPr>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rPr>
        <w:rFonts w:ascii="Times New Roman" w:hAnsi="Times New Roman"/>
      </w:r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5">
    <w:name w:val="Table/Figure"/>
    <w:basedOn w:val="style0"/>
    <w:next w:val="style4135"/>
    <w:qFormat/>
    <w:uiPriority w:val="7"/>
    <w:pPr>
      <w:spacing w:before="240"/>
      <w:ind w:firstLine="0"/>
      <w:contextualSpacing/>
    </w:pPr>
    <w:rPr/>
  </w:style>
  <w:style w:type="paragraph" w:styleId="style32">
    <w:name w:val="footer"/>
    <w:basedOn w:val="style0"/>
    <w:next w:val="style32"/>
    <w:link w:val="style4136"/>
    <w:qFormat/>
    <w:uiPriority w:val="99"/>
    <w:pPr>
      <w:tabs>
        <w:tab w:val="center" w:leader="none" w:pos="4680"/>
        <w:tab w:val="right" w:leader="none" w:pos="9360"/>
      </w:tabs>
      <w:spacing w:lineRule="auto" w:line="240"/>
    </w:pPr>
    <w:rPr/>
  </w:style>
  <w:style w:type="character" w:customStyle="1" w:styleId="style4136">
    <w:name w:val="Footer Char_492c8edf-8acf-40e0-85e3-42e50c4e8c46"/>
    <w:basedOn w:val="style65"/>
    <w:next w:val="style4136"/>
    <w:link w:val="style32"/>
    <w:uiPriority w:val="99"/>
  </w:style>
  <w:style w:type="character" w:styleId="style39">
    <w:name w:val="annotation reference"/>
    <w:basedOn w:val="style65"/>
    <w:next w:val="style39"/>
    <w:uiPriority w:val="99"/>
    <w:rPr>
      <w:sz w:val="22"/>
      <w:szCs w:val="16"/>
    </w:rPr>
  </w:style>
  <w:style w:type="paragraph" w:styleId="style43">
    <w:name w:val="endnote text"/>
    <w:basedOn w:val="style0"/>
    <w:next w:val="style43"/>
    <w:link w:val="style4137"/>
    <w:qFormat/>
    <w:uiPriority w:val="99"/>
    <w:pPr>
      <w:spacing w:lineRule="auto" w:line="240"/>
    </w:pPr>
    <w:rPr>
      <w:sz w:val="22"/>
      <w:szCs w:val="20"/>
    </w:rPr>
  </w:style>
  <w:style w:type="character" w:customStyle="1" w:styleId="style4137">
    <w:name w:val="Endnote Text Char"/>
    <w:basedOn w:val="style65"/>
    <w:next w:val="style4137"/>
    <w:link w:val="style43"/>
    <w:uiPriority w:val="99"/>
    <w:rPr>
      <w:sz w:val="22"/>
      <w:szCs w:val="20"/>
    </w:rPr>
  </w:style>
  <w:style w:type="character" w:styleId="style98">
    <w:name w:val="HTML Code"/>
    <w:basedOn w:val="style65"/>
    <w:next w:val="style98"/>
    <w:uiPriority w:val="99"/>
    <w:rPr>
      <w:rFonts w:ascii="Consolas" w:hAnsi="Consolas"/>
      <w:sz w:val="22"/>
      <w:szCs w:val="20"/>
    </w:rPr>
  </w:style>
  <w:style w:type="character" w:styleId="style100">
    <w:name w:val="HTML Keyboard"/>
    <w:basedOn w:val="style65"/>
    <w:next w:val="style100"/>
    <w:uiPriority w:val="99"/>
    <w:rPr>
      <w:rFonts w:ascii="Consolas" w:hAnsi="Consolas"/>
      <w:sz w:val="22"/>
      <w:szCs w:val="20"/>
    </w:rPr>
  </w:style>
  <w:style w:type="character" w:styleId="style103">
    <w:name w:val="HTML Typewriter"/>
    <w:basedOn w:val="style65"/>
    <w:next w:val="style103"/>
    <w:uiPriority w:val="99"/>
    <w:rPr>
      <w:rFonts w:ascii="Consolas" w:hAnsi="Consolas"/>
      <w:sz w:val="22"/>
      <w:szCs w:val="20"/>
    </w:rPr>
  </w:style>
  <w:style w:type="paragraph" w:styleId="style266">
    <w:name w:val="TOC Heading"/>
    <w:basedOn w:val="style1"/>
    <w:next w:val="style0"/>
    <w:qFormat/>
    <w:uiPriority w:val="39"/>
    <w:pPr>
      <w:spacing w:before="240"/>
      <w:ind w:firstLine="720"/>
      <w:jc w:val="left"/>
      <w:outlineLvl w:val="9"/>
    </w:pPr>
    <w:rPr>
      <w:b w:val="false"/>
      <w:bCs w:val="false"/>
      <w:color w:val="6e6e6e"/>
      <w:sz w:val="32"/>
      <w:szCs w:val="32"/>
    </w:rPr>
  </w:style>
  <w:style w:type="character" w:styleId="style263">
    <w:name w:val="Intense Reference"/>
    <w:basedOn w:val="style65"/>
    <w:next w:val="style263"/>
    <w:qFormat/>
    <w:uiPriority w:val="32"/>
    <w:rPr>
      <w:b/>
      <w:bCs/>
      <w:caps w:val="false"/>
      <w:smallCaps/>
      <w:color w:val="6e6e6e"/>
      <w:spacing w:val="5"/>
    </w:rPr>
  </w:style>
  <w:style w:type="character" w:styleId="style261">
    <w:name w:val="Intense Emphasis"/>
    <w:basedOn w:val="style65"/>
    <w:next w:val="style261"/>
    <w:qFormat/>
    <w:uiPriority w:val="21"/>
    <w:rPr>
      <w:i/>
      <w:iCs/>
      <w:color w:val="6e6e6e"/>
    </w:rPr>
  </w:style>
  <w:style w:type="table" w:customStyle="1" w:styleId="style4138">
    <w:name w:val="Grid Table 4 Accent 4"/>
    <w:basedOn w:val="style105"/>
    <w:next w:val="style4138"/>
    <w:uiPriority w:val="49"/>
    <w:pPr>
      <w:spacing w:lineRule="auto" w:line="240"/>
    </w:pPr>
    <w:rPr/>
    <w:tblPr>
      <w:tblStyleRowBandSize w:val="1"/>
      <w:tblStyleColBandSize w:val="1"/>
      <w:tblInd w:w="0"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CellMar>
        <w:top w:w="0" w:type="dxa"/>
        <w:left w:w="108" w:type="dxa"/>
        <w:bottom w:w="0" w:type="dxa"/>
        <w:right w:w="108" w:type="dxa"/>
      </w:tblCellMar>
    </w:tblPr>
    <w:tblStylePr w:type="firstRow">
      <w:pPr/>
      <w:rPr>
        <w:b/>
        <w:bCs/>
        <w:color w:val="ffffff"/>
      </w:rPr>
      <w:tblPr/>
      <w:tcPr>
        <w:tcBorders>
          <w:top w:val="single" w:sz="4" w:space="0" w:color="808080"/>
          <w:left w:val="single" w:sz="4" w:space="0" w:color="808080"/>
          <w:bottom w:val="single" w:sz="4" w:space="0" w:color="808080"/>
          <w:right w:val="single" w:sz="4" w:space="0" w:color="808080"/>
          <w:insideH w:val="nil"/>
          <w:insideV w:val="nil"/>
        </w:tcBorders>
        <w:shd w:val="clear" w:color="auto" w:fill="808080"/>
      </w:tcPr>
    </w:tblStylePr>
    <w:tblStylePr w:type="lastRow">
      <w:pPr/>
      <w:rPr>
        <w:b/>
        <w:bCs/>
      </w:rPr>
      <w:tblPr/>
      <w:tcPr>
        <w:tcBorders>
          <w:top w:val="double" w:sz="4" w:space="0" w:color="808080"/>
        </w:tcBorders>
      </w:tcPr>
    </w:tblStylePr>
    <w:tblStylePr w:type="band1Horz">
      <w:pPr/>
      <w:tblPr/>
      <w:tcPr>
        <w:tcBorders/>
        <w:shd w:val="clear" w:color="auto" w:fill="e5e5e5"/>
      </w:tcPr>
    </w:tblStylePr>
    <w:tblStylePr w:type="firstCol">
      <w:pPr/>
      <w:rPr>
        <w:b/>
        <w:bCs/>
      </w:rPr>
      <w:tcPr>
        <w:tcBorders/>
      </w:tcPr>
    </w:tblStylePr>
    <w:tblStylePr w:type="lastCol">
      <w:pPr/>
      <w:rPr>
        <w:b/>
        <w:bCs/>
      </w:rPr>
      <w:tcPr>
        <w:tcBorders/>
      </w:tcPr>
    </w:tblStylePr>
    <w:tblStylePr w:type="band1Vert">
      <w:pPr/>
      <w:tblPr/>
      <w:tcPr>
        <w:tcBorders/>
        <w:shd w:val="clear" w:color="auto" w:fill="e5e5e5"/>
      </w:tcPr>
    </w:tblStylePr>
    <w:tcPr>
      <w:tcBorders/>
    </w:tcPr>
  </w:style>
  <w:style w:type="table" w:customStyle="1" w:styleId="style4139">
    <w:name w:val="Grid Table 2 Accent 1"/>
    <w:basedOn w:val="style105"/>
    <w:next w:val="style4139"/>
    <w:uiPriority w:val="47"/>
    <w:pPr>
      <w:spacing w:lineRule="auto" w:line="240"/>
    </w:pPr>
    <w:rPr/>
    <w:tblPr>
      <w:tblStyleRowBandSize w:val="1"/>
      <w:tblStyleColBandSize w:val="1"/>
      <w:tblInd w:w="0" w:type="dxa"/>
      <w:tblBorders>
        <w:top w:val="single" w:sz="2" w:space="0" w:color="eaeaea"/>
        <w:bottom w:val="single" w:sz="2" w:space="0" w:color="eaeaea"/>
        <w:insideH w:val="single" w:sz="2" w:space="0" w:color="eaeaea"/>
        <w:insideV w:val="single" w:sz="2" w:space="0" w:color="eaeaea"/>
      </w:tblBorders>
      <w:tblCellMar>
        <w:top w:w="0" w:type="dxa"/>
        <w:left w:w="0" w:type="dxa"/>
        <w:bottom w:w="0" w:type="dxa"/>
        <w:right w:w="0" w:type="dxa"/>
      </w:tblCellMar>
    </w:tblPr>
    <w:tblStylePr w:type="firstRow">
      <w:pPr/>
      <w:rPr>
        <w:b w:val="false"/>
        <w:bCs/>
        <w:i w:val="false"/>
      </w:rPr>
      <w:tblPr/>
      <w:tcPr>
        <w:tcBorders>
          <w:tl2br w:val="nil"/>
          <w:tr2bl w:val="nil"/>
          <w:top w:val="nil"/>
          <w:left w:val="nil"/>
          <w:bottom w:val="nil"/>
          <w:right w:val="nil"/>
          <w:insideH w:val="nil"/>
          <w:insideV w:val="nil"/>
        </w:tcBorders>
        <w:shd w:val="clear" w:color="auto" w:fill="ffffff"/>
      </w:tcPr>
    </w:tblStylePr>
    <w:tblStylePr w:type="lastRow">
      <w:pPr/>
      <w:rPr>
        <w:b/>
        <w:bCs/>
      </w:rPr>
      <w:tblPr/>
      <w:tcPr>
        <w:tcBorders>
          <w:top w:val="double" w:sz="2" w:space="0" w:color="eaeaea"/>
          <w:bottom w:val="nil"/>
          <w:insideH w:val="nil"/>
          <w:insideV w:val="nil"/>
        </w:tcBorders>
        <w:shd w:val="clear" w:color="auto" w:fill="ffffff"/>
      </w:tcPr>
    </w:tblStylePr>
    <w:tblStylePr w:type="band1Horz">
      <w:pPr/>
      <w:tblPr/>
      <w:tcPr>
        <w:tcBorders/>
        <w:shd w:val="clear" w:color="auto" w:fill="f8f8f8"/>
      </w:tcPr>
    </w:tblStylePr>
    <w:tblStylePr w:type="firstCol">
      <w:pPr/>
      <w:rPr>
        <w:b/>
        <w:bCs/>
      </w:rPr>
      <w:tcPr>
        <w:tcBorders/>
      </w:tcPr>
    </w:tblStylePr>
    <w:tblStylePr w:type="lastCol">
      <w:pPr/>
      <w:rPr>
        <w:b/>
        <w:bCs/>
      </w:rPr>
      <w:tcPr>
        <w:tcBorders/>
      </w:tcPr>
    </w:tblStylePr>
    <w:tblStylePr w:type="band1Vert">
      <w:pPr/>
      <w:tblPr/>
      <w:tcPr>
        <w:tcBorders/>
        <w:shd w:val="clear" w:color="auto" w:fill="f8f8f8"/>
      </w:tcPr>
    </w:tblStyle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header" Target="header2.xml"/><Relationship Id="rId10" Type="http://schemas.openxmlformats.org/officeDocument/2006/relationships/customXml" Target="../customXml/item1.xml"/><Relationship Id="rId8" Type="http://schemas.openxmlformats.org/officeDocument/2006/relationships/settings" Target="settings.xml"/><Relationship Id="rId4" Type="http://schemas.openxmlformats.org/officeDocument/2006/relationships/header" Target="header1.xml"/><Relationship Id="rId3" Type="http://schemas.openxmlformats.org/officeDocument/2006/relationships/image" Target="media/image2.png"/><Relationship Id="rId9"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2.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w:rsidRDefault="00723B30"&gt;&lt;w:r w:rsidRPr="00723B30"&gt;&lt;w:rPr&gt;&lt;w:rFonts w:cstheme="minorHAnsi"/&gt;&lt;/w:rPr&gt;&lt;w:t xml:space="preserve"&gt;GUN  VIOLENCE IN HIGHER LEARNING INSTITUTIONS IN U.S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Props1.xml><?xml version="1.0" encoding="utf-8"?>
<ds:datastoreItem xmlns:ds="http://schemas.openxmlformats.org/officeDocument/2006/customXml" ds:itemID="{3A768B6A-96D1-4DEF-A469-21929C1129FD}">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paper(4)</Template>
  <TotalTime>0</TotalTime>
  <Words>1699</Words>
  <Pages>10</Pages>
  <Characters>9692</Characters>
  <Application>WPS Office</Application>
  <DocSecurity>0</DocSecurity>
  <Paragraphs>93</Paragraphs>
  <ScaleCrop>false</ScaleCrop>
  <LinksUpToDate>false</LinksUpToDate>
  <CharactersWithSpaces>11372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2018-12-06T00:01:08Z</dcterms:created>
  <dc:creator>Windows User</dc:creator>
  <lastModifiedBy>TA-1021</lastModifiedBy>
  <dcterms:modified xsi:type="dcterms:W3CDTF">2018-12-06T00:01:08Z</dcterms:modified>
  <revision>2</revision>
</coreProperties>
</file>

<file path=docProps/custom.xml><?xml version="1.0" encoding="utf-8"?>
<Properties xmlns="http://schemas.openxmlformats.org/officeDocument/2006/custom-properties" xmlns:vt="http://schemas.openxmlformats.org/officeDocument/2006/docPropsVTypes"/>
</file>